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9E7" w:rsidRDefault="000C29E7" w:rsidP="000C29E7">
      <w:pPr>
        <w:tabs>
          <w:tab w:val="left" w:pos="7080"/>
          <w:tab w:val="left" w:pos="7320"/>
        </w:tabs>
        <w:rPr>
          <w:i/>
          <w:spacing w:val="-14"/>
        </w:rPr>
      </w:pPr>
      <w:bookmarkStart w:id="0" w:name="_GoBack"/>
      <w:bookmarkEnd w:id="0"/>
      <w:r w:rsidRPr="00BE3834">
        <w:rPr>
          <w:b/>
          <w:spacing w:val="-14"/>
        </w:rPr>
        <w:t>Fig. VI.4.2.1A - Costruzioni navali per stabilimento - Unità lavorate - Anno 201</w:t>
      </w:r>
      <w:r w:rsidR="009415F8">
        <w:rPr>
          <w:b/>
          <w:spacing w:val="-14"/>
        </w:rPr>
        <w:t>6</w:t>
      </w:r>
      <w:r>
        <w:rPr>
          <w:b/>
          <w:spacing w:val="-14"/>
        </w:rPr>
        <w:t xml:space="preserve"> </w:t>
      </w:r>
    </w:p>
    <w:p w:rsidR="00A71EF8" w:rsidRDefault="00A71EF8"/>
    <w:p w:rsidR="000C29E7" w:rsidRDefault="000C29E7" w:rsidP="000C29E7">
      <w:pPr>
        <w:tabs>
          <w:tab w:val="left" w:pos="7080"/>
          <w:tab w:val="left" w:pos="7320"/>
        </w:tabs>
      </w:pPr>
      <w:r>
        <w:rPr>
          <w:i/>
          <w:spacing w:val="-14"/>
        </w:rPr>
        <w:t xml:space="preserve">Percentuale </w:t>
      </w:r>
      <w:r w:rsidRPr="00B446F4">
        <w:rPr>
          <w:i/>
          <w:spacing w:val="-14"/>
        </w:rPr>
        <w:t xml:space="preserve"> sul totale</w:t>
      </w:r>
      <w:r w:rsidRPr="002D4940">
        <w:rPr>
          <w:i/>
          <w:spacing w:val="-14"/>
        </w:rPr>
        <w:t xml:space="preserve"> </w:t>
      </w:r>
    </w:p>
    <w:p w:rsidR="000C29E7" w:rsidRDefault="009415F8">
      <w:r>
        <w:rPr>
          <w:noProof/>
        </w:rPr>
        <w:drawing>
          <wp:inline distT="0" distB="0" distL="0" distR="0" wp14:anchorId="7ABF5594" wp14:editId="5A37924D">
            <wp:extent cx="6120130" cy="4099112"/>
            <wp:effectExtent l="0" t="0" r="13970" b="15875"/>
            <wp:docPr id="2" name="Gra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C3517" w:rsidRDefault="002C3517" w:rsidP="002C3517">
      <w:pPr>
        <w:rPr>
          <w:rFonts w:eastAsia="Arial Unicode MS"/>
          <w:sz w:val="18"/>
          <w:szCs w:val="18"/>
        </w:rPr>
      </w:pPr>
      <w:r w:rsidRPr="003819C8">
        <w:rPr>
          <w:rFonts w:eastAsia="Arial Unicode MS"/>
          <w:i/>
          <w:sz w:val="18"/>
          <w:szCs w:val="18"/>
        </w:rPr>
        <w:t xml:space="preserve">Fonte: </w:t>
      </w:r>
      <w:r>
        <w:rPr>
          <w:rFonts w:eastAsia="Arial Unicode MS"/>
          <w:sz w:val="18"/>
          <w:szCs w:val="18"/>
        </w:rPr>
        <w:t>Ministero delle Infrastrutture e dei Trasporti.</w:t>
      </w:r>
    </w:p>
    <w:p w:rsidR="00A03D1D" w:rsidRDefault="00A03D1D" w:rsidP="002C3517">
      <w:pPr>
        <w:rPr>
          <w:rFonts w:eastAsia="Arial Unicode MS"/>
          <w:sz w:val="18"/>
          <w:szCs w:val="18"/>
        </w:rPr>
      </w:pPr>
    </w:p>
    <w:p w:rsidR="002C3517" w:rsidRDefault="002C3517"/>
    <w:p w:rsidR="0038620D" w:rsidRDefault="0038620D">
      <w:pPr>
        <w:rPr>
          <w:b/>
          <w:bCs/>
          <w:color w:val="000000"/>
          <w:spacing w:val="-14"/>
        </w:rPr>
      </w:pPr>
      <w:r w:rsidRPr="00BE3834">
        <w:rPr>
          <w:b/>
          <w:spacing w:val="-14"/>
        </w:rPr>
        <w:t xml:space="preserve">Fig. VI.4.2.2A - </w:t>
      </w:r>
      <w:r w:rsidRPr="00BE3834">
        <w:rPr>
          <w:b/>
          <w:bCs/>
          <w:color w:val="000000"/>
          <w:spacing w:val="-14"/>
        </w:rPr>
        <w:t xml:space="preserve">Riparazioni navali </w:t>
      </w:r>
      <w:r>
        <w:rPr>
          <w:b/>
          <w:bCs/>
          <w:color w:val="000000"/>
          <w:spacing w:val="-14"/>
        </w:rPr>
        <w:t>per s</w:t>
      </w:r>
      <w:r w:rsidRPr="00BE3834">
        <w:rPr>
          <w:b/>
          <w:bCs/>
          <w:color w:val="000000"/>
          <w:spacing w:val="-14"/>
        </w:rPr>
        <w:t xml:space="preserve">tabilimento - Unità lavorate </w:t>
      </w:r>
      <w:r>
        <w:rPr>
          <w:b/>
          <w:bCs/>
          <w:color w:val="000000"/>
          <w:spacing w:val="-14"/>
        </w:rPr>
        <w:t xml:space="preserve">- </w:t>
      </w:r>
      <w:r w:rsidRPr="00BE3834">
        <w:rPr>
          <w:b/>
          <w:bCs/>
          <w:color w:val="000000"/>
          <w:spacing w:val="-14"/>
        </w:rPr>
        <w:t>Anno 201</w:t>
      </w:r>
      <w:r w:rsidR="00186482">
        <w:rPr>
          <w:b/>
          <w:bCs/>
          <w:color w:val="000000"/>
          <w:spacing w:val="-14"/>
        </w:rPr>
        <w:t>6</w:t>
      </w:r>
    </w:p>
    <w:p w:rsidR="0038620D" w:rsidRDefault="0038620D"/>
    <w:p w:rsidR="002C3517" w:rsidRDefault="00477213" w:rsidP="00477213">
      <w:pPr>
        <w:tabs>
          <w:tab w:val="left" w:pos="7080"/>
          <w:tab w:val="left" w:pos="7320"/>
        </w:tabs>
      </w:pPr>
      <w:r>
        <w:rPr>
          <w:i/>
          <w:spacing w:val="-14"/>
        </w:rPr>
        <w:t xml:space="preserve">Percentuale </w:t>
      </w:r>
      <w:r w:rsidRPr="00B446F4">
        <w:rPr>
          <w:i/>
          <w:spacing w:val="-14"/>
        </w:rPr>
        <w:t xml:space="preserve"> sul totale</w:t>
      </w:r>
      <w:r w:rsidRPr="002D4940">
        <w:rPr>
          <w:i/>
          <w:spacing w:val="-14"/>
        </w:rPr>
        <w:t xml:space="preserve"> </w:t>
      </w:r>
    </w:p>
    <w:p w:rsidR="0038620D" w:rsidRDefault="00EB3B27" w:rsidP="00C73574">
      <w:r>
        <w:rPr>
          <w:noProof/>
        </w:rPr>
        <w:drawing>
          <wp:inline distT="0" distB="0" distL="0" distR="0" wp14:anchorId="728D6953" wp14:editId="694D8634">
            <wp:extent cx="6124575" cy="3695700"/>
            <wp:effectExtent l="0" t="0" r="9525" b="1905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D16E0" w:rsidRDefault="008D16E0">
      <w:pPr>
        <w:rPr>
          <w:rFonts w:eastAsia="Arial Unicode MS"/>
          <w:sz w:val="18"/>
          <w:szCs w:val="18"/>
        </w:rPr>
      </w:pPr>
      <w:r w:rsidRPr="003819C8">
        <w:rPr>
          <w:rFonts w:eastAsia="Arial Unicode MS"/>
          <w:i/>
          <w:sz w:val="18"/>
          <w:szCs w:val="18"/>
        </w:rPr>
        <w:t xml:space="preserve">Fonte: </w:t>
      </w:r>
      <w:r>
        <w:rPr>
          <w:rFonts w:eastAsia="Arial Unicode MS"/>
          <w:sz w:val="18"/>
          <w:szCs w:val="18"/>
        </w:rPr>
        <w:t>Ministero delle Infrastrutture e dei Trasporti.</w:t>
      </w:r>
    </w:p>
    <w:p w:rsidR="008D16E0" w:rsidRDefault="008D16E0">
      <w:pPr>
        <w:rPr>
          <w:rFonts w:eastAsia="Arial Unicode MS"/>
          <w:sz w:val="18"/>
          <w:szCs w:val="18"/>
        </w:rPr>
      </w:pPr>
    </w:p>
    <w:p w:rsidR="008D16E0" w:rsidRDefault="008D16E0">
      <w:pPr>
        <w:rPr>
          <w:rFonts w:eastAsia="Arial Unicode MS"/>
          <w:sz w:val="18"/>
          <w:szCs w:val="18"/>
        </w:rPr>
      </w:pPr>
    </w:p>
    <w:p w:rsidR="008D16E0" w:rsidRDefault="008D16E0">
      <w:pPr>
        <w:rPr>
          <w:rFonts w:eastAsia="Arial Unicode MS"/>
          <w:sz w:val="18"/>
          <w:szCs w:val="18"/>
        </w:rPr>
      </w:pPr>
    </w:p>
    <w:p w:rsidR="008D16E0" w:rsidRDefault="008D16E0">
      <w:pPr>
        <w:rPr>
          <w:rFonts w:eastAsia="Arial Unicode MS"/>
          <w:sz w:val="18"/>
          <w:szCs w:val="18"/>
        </w:rPr>
      </w:pPr>
      <w:r>
        <w:rPr>
          <w:b/>
        </w:rPr>
        <w:t>Fig. VI.4.2.3</w:t>
      </w:r>
      <w:r w:rsidRPr="00BE3834">
        <w:rPr>
          <w:b/>
        </w:rPr>
        <w:t xml:space="preserve">A </w:t>
      </w:r>
      <w:r>
        <w:rPr>
          <w:b/>
        </w:rPr>
        <w:t>-</w:t>
      </w:r>
      <w:r w:rsidRPr="00BE3834">
        <w:rPr>
          <w:b/>
        </w:rPr>
        <w:t xml:space="preserve"> </w:t>
      </w:r>
      <w:r>
        <w:rPr>
          <w:b/>
        </w:rPr>
        <w:t>Superficie s</w:t>
      </w:r>
      <w:r>
        <w:rPr>
          <w:b/>
          <w:bCs/>
          <w:color w:val="000000"/>
        </w:rPr>
        <w:t>tabilimenti i</w:t>
      </w:r>
      <w:r w:rsidRPr="00BE3834">
        <w:rPr>
          <w:b/>
          <w:bCs/>
          <w:color w:val="000000"/>
        </w:rPr>
        <w:t xml:space="preserve">mprese </w:t>
      </w:r>
      <w:r>
        <w:rPr>
          <w:b/>
          <w:bCs/>
          <w:color w:val="000000"/>
        </w:rPr>
        <w:t xml:space="preserve">- Anno </w:t>
      </w:r>
      <w:r w:rsidR="009D077D">
        <w:rPr>
          <w:b/>
          <w:bCs/>
          <w:color w:val="000000"/>
        </w:rPr>
        <w:t>2016</w:t>
      </w:r>
    </w:p>
    <w:p w:rsidR="008D16E0" w:rsidRDefault="008D16E0"/>
    <w:p w:rsidR="00277367" w:rsidRPr="00277367" w:rsidRDefault="00277367" w:rsidP="00277367">
      <w:pPr>
        <w:ind w:left="1843" w:hanging="1843"/>
        <w:jc w:val="both"/>
        <w:rPr>
          <w:bCs/>
          <w:i/>
          <w:color w:val="000000"/>
        </w:rPr>
      </w:pPr>
      <w:r w:rsidRPr="00277367">
        <w:rPr>
          <w:bCs/>
          <w:i/>
          <w:color w:val="000000"/>
        </w:rPr>
        <w:t>Metri quadrati</w:t>
      </w:r>
    </w:p>
    <w:p w:rsidR="00277367" w:rsidRDefault="009D077D">
      <w:r>
        <w:rPr>
          <w:noProof/>
        </w:rPr>
        <w:drawing>
          <wp:inline distT="0" distB="0" distL="0" distR="0" wp14:anchorId="19761A84" wp14:editId="15A8A290">
            <wp:extent cx="6124575" cy="3609975"/>
            <wp:effectExtent l="0" t="0" r="9525" b="9525"/>
            <wp:docPr id="7" name="Gra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9174C" w:rsidRDefault="0019174C" w:rsidP="0019174C">
      <w:pPr>
        <w:rPr>
          <w:rFonts w:eastAsia="Arial Unicode MS"/>
          <w:sz w:val="18"/>
          <w:szCs w:val="18"/>
        </w:rPr>
      </w:pPr>
      <w:r w:rsidRPr="003819C8">
        <w:rPr>
          <w:rFonts w:eastAsia="Arial Unicode MS"/>
          <w:i/>
          <w:sz w:val="18"/>
          <w:szCs w:val="18"/>
        </w:rPr>
        <w:t xml:space="preserve">Fonte: </w:t>
      </w:r>
      <w:r>
        <w:rPr>
          <w:rFonts w:eastAsia="Arial Unicode MS"/>
          <w:sz w:val="18"/>
          <w:szCs w:val="18"/>
        </w:rPr>
        <w:t>Ministero delle Infrastrutture e dei Trasporti.</w:t>
      </w:r>
    </w:p>
    <w:p w:rsidR="00277367" w:rsidRDefault="00277367"/>
    <w:p w:rsidR="005642A4" w:rsidRDefault="005642A4"/>
    <w:p w:rsidR="005642A4" w:rsidRPr="005642A4" w:rsidRDefault="005642A4" w:rsidP="005642A4">
      <w:pPr>
        <w:rPr>
          <w:b/>
          <w:bCs/>
          <w:color w:val="000000"/>
        </w:rPr>
      </w:pPr>
      <w:r w:rsidRPr="005642A4">
        <w:rPr>
          <w:b/>
        </w:rPr>
        <w:t>Fig. VI.4.2.4A - Dipendenti</w:t>
      </w:r>
      <w:r w:rsidRPr="005642A4">
        <w:rPr>
          <w:b/>
          <w:bCs/>
          <w:color w:val="000000"/>
        </w:rPr>
        <w:t xml:space="preserve"> stabilimenti imprese - Anno 201</w:t>
      </w:r>
      <w:r w:rsidR="0092325C">
        <w:rPr>
          <w:b/>
          <w:bCs/>
          <w:color w:val="000000"/>
        </w:rPr>
        <w:t>6</w:t>
      </w:r>
      <w:r w:rsidRPr="005642A4">
        <w:rPr>
          <w:b/>
          <w:bCs/>
          <w:color w:val="000000"/>
        </w:rPr>
        <w:t xml:space="preserve">          </w:t>
      </w:r>
    </w:p>
    <w:p w:rsidR="005642A4" w:rsidRPr="005642A4" w:rsidRDefault="005642A4" w:rsidP="005642A4">
      <w:pPr>
        <w:rPr>
          <w:bCs/>
          <w:i/>
          <w:color w:val="000000"/>
        </w:rPr>
      </w:pPr>
    </w:p>
    <w:p w:rsidR="005642A4" w:rsidRDefault="005642A4" w:rsidP="005642A4">
      <w:pPr>
        <w:rPr>
          <w:noProof/>
        </w:rPr>
      </w:pPr>
      <w:r w:rsidRPr="005642A4">
        <w:rPr>
          <w:bCs/>
          <w:i/>
          <w:color w:val="000000"/>
        </w:rPr>
        <w:t>Nu</w:t>
      </w:r>
      <w:r w:rsidRPr="005642A4">
        <w:rPr>
          <w:bCs/>
          <w:color w:val="000000"/>
        </w:rPr>
        <w:t>m</w:t>
      </w:r>
      <w:r w:rsidRPr="005642A4">
        <w:rPr>
          <w:bCs/>
          <w:i/>
          <w:color w:val="000000"/>
        </w:rPr>
        <w:t>ero</w:t>
      </w:r>
    </w:p>
    <w:p w:rsidR="00EB6AC2" w:rsidRDefault="00434F4D" w:rsidP="005642A4">
      <w:r>
        <w:rPr>
          <w:noProof/>
        </w:rPr>
        <w:drawing>
          <wp:inline distT="0" distB="0" distL="0" distR="0" wp14:anchorId="3F3C78B9" wp14:editId="1EF1A196">
            <wp:extent cx="6120130" cy="4021782"/>
            <wp:effectExtent l="0" t="0" r="13970" b="17145"/>
            <wp:docPr id="6" name="Gra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136E3" w:rsidRPr="005642A4" w:rsidRDefault="00F136E3" w:rsidP="005642A4">
      <w:r w:rsidRPr="003819C8">
        <w:rPr>
          <w:rFonts w:eastAsia="Arial Unicode MS"/>
          <w:i/>
          <w:sz w:val="18"/>
          <w:szCs w:val="18"/>
        </w:rPr>
        <w:t xml:space="preserve">Fonte: </w:t>
      </w:r>
      <w:r>
        <w:rPr>
          <w:rFonts w:eastAsia="Arial Unicode MS"/>
          <w:sz w:val="18"/>
          <w:szCs w:val="18"/>
        </w:rPr>
        <w:t>Ministero delle Infrastrutture e dei Trasporti.</w:t>
      </w:r>
    </w:p>
    <w:sectPr w:rsidR="00F136E3" w:rsidRPr="005642A4" w:rsidSect="000C29E7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E7"/>
    <w:rsid w:val="00077496"/>
    <w:rsid w:val="0008731E"/>
    <w:rsid w:val="000C29E7"/>
    <w:rsid w:val="00186482"/>
    <w:rsid w:val="0019174C"/>
    <w:rsid w:val="001B237A"/>
    <w:rsid w:val="0023329F"/>
    <w:rsid w:val="0027111F"/>
    <w:rsid w:val="00277367"/>
    <w:rsid w:val="002C3517"/>
    <w:rsid w:val="0032500F"/>
    <w:rsid w:val="0038620D"/>
    <w:rsid w:val="00434F4D"/>
    <w:rsid w:val="00477213"/>
    <w:rsid w:val="004C70EB"/>
    <w:rsid w:val="0051197A"/>
    <w:rsid w:val="005642A4"/>
    <w:rsid w:val="005657C5"/>
    <w:rsid w:val="005E6649"/>
    <w:rsid w:val="00676BD1"/>
    <w:rsid w:val="0077788D"/>
    <w:rsid w:val="008D16E0"/>
    <w:rsid w:val="00902544"/>
    <w:rsid w:val="0092325C"/>
    <w:rsid w:val="009415F8"/>
    <w:rsid w:val="0094681E"/>
    <w:rsid w:val="009D077D"/>
    <w:rsid w:val="009D1EA6"/>
    <w:rsid w:val="00A03D1D"/>
    <w:rsid w:val="00A213F4"/>
    <w:rsid w:val="00A71EF8"/>
    <w:rsid w:val="00AB37D7"/>
    <w:rsid w:val="00B04070"/>
    <w:rsid w:val="00BA61B7"/>
    <w:rsid w:val="00C73574"/>
    <w:rsid w:val="00D21F23"/>
    <w:rsid w:val="00DD4AF9"/>
    <w:rsid w:val="00EB3B27"/>
    <w:rsid w:val="00EB6AC2"/>
    <w:rsid w:val="00F1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2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29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29E7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2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29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29E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0"/>
      <c:hPercent val="60"/>
      <c:rotY val="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267309353626395"/>
          <c:y val="0.36285354002111236"/>
          <c:w val="0.60017012159194383"/>
          <c:h val="0.59104947847598566"/>
        </c:manualLayout>
      </c:layout>
      <c:pie3DChart>
        <c:varyColors val="1"/>
        <c:ser>
          <c:idx val="0"/>
          <c:order val="0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Pt>
            <c:idx val="6"/>
            <c:bubble3D val="0"/>
          </c:dPt>
          <c:dPt>
            <c:idx val="7"/>
            <c:bubble3D val="0"/>
          </c:dPt>
          <c:dPt>
            <c:idx val="8"/>
            <c:bubble3D val="0"/>
          </c:dPt>
          <c:dPt>
            <c:idx val="9"/>
            <c:bubble3D val="0"/>
          </c:dPt>
          <c:dPt>
            <c:idx val="10"/>
            <c:bubble3D val="0"/>
          </c:dPt>
          <c:dPt>
            <c:idx val="11"/>
            <c:bubble3D val="0"/>
          </c:dPt>
          <c:dPt>
            <c:idx val="12"/>
            <c:bubble3D val="0"/>
          </c:dPt>
          <c:dPt>
            <c:idx val="13"/>
            <c:bubble3D val="0"/>
          </c:dPt>
          <c:dPt>
            <c:idx val="14"/>
            <c:bubble3D val="0"/>
          </c:dPt>
          <c:dPt>
            <c:idx val="15"/>
            <c:bubble3D val="0"/>
          </c:dPt>
          <c:dPt>
            <c:idx val="16"/>
            <c:bubble3D val="0"/>
          </c:dPt>
          <c:dPt>
            <c:idx val="17"/>
            <c:bubble3D val="0"/>
          </c:dPt>
          <c:dLbls>
            <c:dLbl>
              <c:idx val="0"/>
              <c:layout>
                <c:manualLayout>
                  <c:x val="-0.21280660290714049"/>
                  <c:y val="-0.3331382530672037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0.11709873746341583"/>
                  <c:y val="-0.4413374839772935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1.6370931860578079E-2"/>
                  <c:y val="-0.3235072941463712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0.14018768649253213"/>
                  <c:y val="-0.4153129463468229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0.25679300196340155"/>
                  <c:y val="-0.40785521577244704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delete val="1"/>
            </c:dLbl>
            <c:dLbl>
              <c:idx val="6"/>
              <c:delete val="1"/>
            </c:dLbl>
            <c:dLbl>
              <c:idx val="7"/>
              <c:layout>
                <c:manualLayout>
                  <c:x val="0.22343019719735654"/>
                  <c:y val="-0.2704918513092839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0.21852308119338892"/>
                  <c:y val="-0.15720783739241898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2.3126502655286284E-2"/>
                  <c:y val="-6.079326130745284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-7.8682628957094644E-2"/>
                  <c:y val="7.5645325110224093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-3.1634031749141776E-2"/>
                  <c:y val="5.5709699078312885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2"/>
              <c:layout>
                <c:manualLayout>
                  <c:x val="-6.7269647281648109E-2"/>
                  <c:y val="-2.3050723310748945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3"/>
              <c:layout>
                <c:manualLayout>
                  <c:x val="-0.18982949837335653"/>
                  <c:y val="-0.12378587560275896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4"/>
              <c:layout>
                <c:manualLayout>
                  <c:x val="-0.29980855814485086"/>
                  <c:y val="-0.26830836843069034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0.31564904386951625"/>
                  <c:y val="-0.1886027978035057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7"/>
              <c:layout>
                <c:manualLayout>
                  <c:x val="-0.37975484013176425"/>
                  <c:y val="-0.39951046816822317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0%" sourceLinked="0"/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'Calcolo x Stabilim e Impres'!$A$1:$A$18</c:f>
              <c:strCache>
                <c:ptCount val="18"/>
                <c:pt idx="0">
                  <c:v>Cantiere Navale Vittoria</c:v>
                </c:pt>
                <c:pt idx="1">
                  <c:v>Cantiere Navale Visentini</c:v>
                </c:pt>
                <c:pt idx="2">
                  <c:v>Cantieri San Marco</c:v>
                </c:pt>
                <c:pt idx="3">
                  <c:v>Rosetti Marino </c:v>
                </c:pt>
                <c:pt idx="4">
                  <c:v>T. Mariotti</c:v>
                </c:pt>
                <c:pt idx="5">
                  <c:v>Intermarine - Sarzana</c:v>
                </c:pt>
                <c:pt idx="6">
                  <c:v>Mancini </c:v>
                </c:pt>
                <c:pt idx="7">
                  <c:v>Tringali</c:v>
                </c:pt>
                <c:pt idx="8">
                  <c:v>Liberty Lines</c:v>
                </c:pt>
                <c:pt idx="9">
                  <c:v>Fincantieri - Ancona</c:v>
                </c:pt>
                <c:pt idx="10">
                  <c:v>Fincantieri - Monfalcone</c:v>
                </c:pt>
                <c:pt idx="11">
                  <c:v>Fincantieri - Sestri</c:v>
                </c:pt>
                <c:pt idx="12">
                  <c:v>Fincantieri - Riva Trigoso</c:v>
                </c:pt>
                <c:pt idx="13">
                  <c:v>Fincantieri - Muggiano</c:v>
                </c:pt>
                <c:pt idx="14">
                  <c:v>Fincantieri - Marghera</c:v>
                </c:pt>
                <c:pt idx="15">
                  <c:v>Fincantieri - Castellammare di Stabia</c:v>
                </c:pt>
                <c:pt idx="16">
                  <c:v>Cantieri Navali Megaride</c:v>
                </c:pt>
                <c:pt idx="17">
                  <c:v>Cantieri Navali Boschetti</c:v>
                </c:pt>
              </c:strCache>
            </c:strRef>
          </c:cat>
          <c:val>
            <c:numRef>
              <c:f>'Calcolo x Stabilim e Impres'!$B$1:$B$18</c:f>
              <c:numCache>
                <c:formatCode>#,##0</c:formatCode>
                <c:ptCount val="18"/>
                <c:pt idx="0">
                  <c:v>14890</c:v>
                </c:pt>
                <c:pt idx="1">
                  <c:v>19992</c:v>
                </c:pt>
                <c:pt idx="2">
                  <c:v>0</c:v>
                </c:pt>
                <c:pt idx="3">
                  <c:v>8505</c:v>
                </c:pt>
                <c:pt idx="4">
                  <c:v>30541</c:v>
                </c:pt>
                <c:pt idx="5">
                  <c:v>0</c:v>
                </c:pt>
                <c:pt idx="6">
                  <c:v>0</c:v>
                </c:pt>
                <c:pt idx="7">
                  <c:v>820</c:v>
                </c:pt>
                <c:pt idx="8">
                  <c:v>3174</c:v>
                </c:pt>
                <c:pt idx="9">
                  <c:v>478000</c:v>
                </c:pt>
                <c:pt idx="10">
                  <c:v>564342</c:v>
                </c:pt>
                <c:pt idx="11">
                  <c:v>337625</c:v>
                </c:pt>
                <c:pt idx="12">
                  <c:v>112011</c:v>
                </c:pt>
                <c:pt idx="13">
                  <c:v>112011</c:v>
                </c:pt>
                <c:pt idx="14">
                  <c:v>168818</c:v>
                </c:pt>
                <c:pt idx="15">
                  <c:v>0</c:v>
                </c:pt>
                <c:pt idx="16">
                  <c:v>3400</c:v>
                </c:pt>
                <c:pt idx="17">
                  <c:v>444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0"/>
      <c:hPercent val="60"/>
      <c:rotY val="10"/>
      <c:depthPercent val="10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614497199525164"/>
          <c:y val="0.16227237059285116"/>
          <c:w val="0.58847076262759623"/>
          <c:h val="0.57215883683369051"/>
        </c:manualLayout>
      </c:layout>
      <c:pie3DChart>
        <c:varyColors val="1"/>
        <c:ser>
          <c:idx val="0"/>
          <c:order val="0"/>
          <c:dPt>
            <c:idx val="8"/>
            <c:bubble3D val="0"/>
          </c:dPt>
          <c:dPt>
            <c:idx val="9"/>
            <c:bubble3D val="0"/>
          </c:dPt>
          <c:dPt>
            <c:idx val="16"/>
            <c:bubble3D val="0"/>
          </c:dPt>
          <c:dLbls>
            <c:dLbl>
              <c:idx val="0"/>
              <c:layout>
                <c:manualLayout>
                  <c:x val="-1.5985272447475947E-2"/>
                  <c:y val="-0.1288954763007565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3.0723717757825217E-2"/>
                  <c:y val="-0.2053027841659337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5.3462512798965474E-2"/>
                  <c:y val="-0.1159236371811148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9.7779029565316783E-2"/>
                  <c:y val="-0.2001726725335803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9.29039157819114E-2"/>
                  <c:y val="-0.1108681179558437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4.0431866700954763E-2"/>
                  <c:y val="-7.0318974834028096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3.1584395651943195E-2"/>
                  <c:y val="0.1034278832792959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4.046994565570017E-3"/>
                  <c:y val="9.076647064686534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-8.0392036646142265E-3"/>
                  <c:y val="7.662652186365792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0.1358665703334517"/>
                  <c:y val="0.2784308784931295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1.9690182584097674E-2"/>
                  <c:y val="0.3538168905357418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2"/>
              <c:layout>
                <c:manualLayout>
                  <c:x val="-5.9979672058877555E-3"/>
                  <c:y val="0.2214568473058514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3"/>
              <c:layout>
                <c:manualLayout>
                  <c:x val="4.5204769310523609E-3"/>
                  <c:y val="0.1155134784622510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4"/>
              <c:layout>
                <c:manualLayout>
                  <c:x val="-1.5286611724078813E-2"/>
                  <c:y val="4.984258144202562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5"/>
              <c:layout>
                <c:manualLayout>
                  <c:x val="-3.6577721719466251E-2"/>
                  <c:y val="-4.204193299366990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6"/>
              <c:layout>
                <c:manualLayout>
                  <c:x val="-0.10605193013392766"/>
                  <c:y val="-0.1150139879573876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7"/>
              <c:layout>
                <c:manualLayout>
                  <c:x val="-0.27263165199217904"/>
                  <c:y val="-0.2235513972518141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8"/>
              <c:layout>
                <c:manualLayout>
                  <c:x val="-0.28688064069751779"/>
                  <c:y val="-0.2019774587000154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9"/>
              <c:layout>
                <c:manualLayout>
                  <c:x val="-0.15440042778478508"/>
                  <c:y val="-0.1886416550872317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0%" sourceLinked="0"/>
            <c:txPr>
              <a:bodyPr/>
              <a:lstStyle/>
              <a:p>
                <a:pPr>
                  <a:defRPr b="1"/>
                </a:pPr>
                <a:endParaRPr lang="it-IT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'DATABASE Riparazione 2016'!$A$2:$A$21</c:f>
              <c:strCache>
                <c:ptCount val="20"/>
                <c:pt idx="0">
                  <c:v>Naviravenna</c:v>
                </c:pt>
                <c:pt idx="1">
                  <c:v>Ignazio Messina &amp; C.</c:v>
                </c:pt>
                <c:pt idx="2">
                  <c:v>Mancini </c:v>
                </c:pt>
                <c:pt idx="3">
                  <c:v>Intermarine - Messina</c:v>
                </c:pt>
                <c:pt idx="4">
                  <c:v>T. Mariotti</c:v>
                </c:pt>
                <c:pt idx="5">
                  <c:v>Nuovi Cantieri Apuania</c:v>
                </c:pt>
                <c:pt idx="6">
                  <c:v>Cantieri San Marco</c:v>
                </c:pt>
                <c:pt idx="7">
                  <c:v>Navalimpianti</c:v>
                </c:pt>
                <c:pt idx="8">
                  <c:v>Tringali</c:v>
                </c:pt>
                <c:pt idx="9">
                  <c:v>Moby</c:v>
                </c:pt>
                <c:pt idx="10">
                  <c:v>San Giorgio del Porto</c:v>
                </c:pt>
                <c:pt idx="11">
                  <c:v>G.M.G.  General Montaggi Genovesi</c:v>
                </c:pt>
                <c:pt idx="12">
                  <c:v>Cantieri del Mediterraneo</c:v>
                </c:pt>
                <c:pt idx="13">
                  <c:v>Fincantieri - Palermo</c:v>
                </c:pt>
                <c:pt idx="14">
                  <c:v>Fincantieri - ATSM</c:v>
                </c:pt>
                <c:pt idx="15">
                  <c:v>Cantieri Megaride</c:v>
                </c:pt>
                <c:pt idx="16">
                  <c:v>Cantiere Navale di Augusta</c:v>
                </c:pt>
                <c:pt idx="17">
                  <c:v>Palumbo Group</c:v>
                </c:pt>
                <c:pt idx="18">
                  <c:v>Cantiere Navale Salvadori</c:v>
                </c:pt>
                <c:pt idx="19">
                  <c:v>Cantieri Navali Boschetti</c:v>
                </c:pt>
              </c:strCache>
            </c:strRef>
          </c:cat>
          <c:val>
            <c:numRef>
              <c:f>'DATABASE Riparazione 2016'!$B$2:$B$21</c:f>
              <c:numCache>
                <c:formatCode>General</c:formatCode>
                <c:ptCount val="20"/>
                <c:pt idx="0">
                  <c:v>0</c:v>
                </c:pt>
                <c:pt idx="1">
                  <c:v>21</c:v>
                </c:pt>
                <c:pt idx="2">
                  <c:v>6</c:v>
                </c:pt>
                <c:pt idx="3">
                  <c:v>33</c:v>
                </c:pt>
                <c:pt idx="4">
                  <c:v>5</c:v>
                </c:pt>
                <c:pt idx="6">
                  <c:v>28</c:v>
                </c:pt>
                <c:pt idx="7">
                  <c:v>54</c:v>
                </c:pt>
                <c:pt idx="8">
                  <c:v>60</c:v>
                </c:pt>
                <c:pt idx="9">
                  <c:v>24</c:v>
                </c:pt>
                <c:pt idx="10">
                  <c:v>49</c:v>
                </c:pt>
                <c:pt idx="11">
                  <c:v>8</c:v>
                </c:pt>
                <c:pt idx="12">
                  <c:v>28</c:v>
                </c:pt>
                <c:pt idx="13">
                  <c:v>21</c:v>
                </c:pt>
                <c:pt idx="14">
                  <c:v>27</c:v>
                </c:pt>
                <c:pt idx="15">
                  <c:v>9</c:v>
                </c:pt>
                <c:pt idx="16">
                  <c:v>62</c:v>
                </c:pt>
                <c:pt idx="17">
                  <c:v>27</c:v>
                </c:pt>
                <c:pt idx="18">
                  <c:v>8</c:v>
                </c:pt>
                <c:pt idx="1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it-IT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0"/>
      <c:hPercent val="6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9214697712646054"/>
          <c:y val="0.43528114353121"/>
          <c:w val="0.38700016435650875"/>
          <c:h val="0.38141658595901412"/>
        </c:manualLayout>
      </c:layout>
      <c:pie3DChart>
        <c:varyColors val="1"/>
        <c:ser>
          <c:idx val="0"/>
          <c:order val="0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Pt>
            <c:idx val="6"/>
            <c:bubble3D val="0"/>
          </c:dPt>
          <c:dPt>
            <c:idx val="7"/>
            <c:bubble3D val="0"/>
          </c:dPt>
          <c:dPt>
            <c:idx val="8"/>
            <c:bubble3D val="0"/>
          </c:dPt>
          <c:dPt>
            <c:idx val="9"/>
            <c:bubble3D val="0"/>
          </c:dPt>
          <c:dPt>
            <c:idx val="10"/>
            <c:bubble3D val="0"/>
          </c:dPt>
          <c:dPt>
            <c:idx val="11"/>
            <c:bubble3D val="0"/>
          </c:dPt>
          <c:dPt>
            <c:idx val="12"/>
            <c:bubble3D val="0"/>
          </c:dPt>
          <c:dPt>
            <c:idx val="13"/>
            <c:bubble3D val="0"/>
          </c:dPt>
          <c:dPt>
            <c:idx val="14"/>
            <c:bubble3D val="0"/>
          </c:dPt>
          <c:dPt>
            <c:idx val="15"/>
            <c:bubble3D val="0"/>
          </c:dPt>
          <c:dPt>
            <c:idx val="16"/>
            <c:bubble3D val="0"/>
          </c:dPt>
          <c:dPt>
            <c:idx val="17"/>
            <c:bubble3D val="0"/>
          </c:dPt>
          <c:dPt>
            <c:idx val="18"/>
            <c:bubble3D val="0"/>
          </c:dPt>
          <c:dPt>
            <c:idx val="19"/>
            <c:bubble3D val="0"/>
          </c:dPt>
          <c:dPt>
            <c:idx val="20"/>
            <c:bubble3D val="0"/>
          </c:dPt>
          <c:dPt>
            <c:idx val="21"/>
            <c:bubble3D val="0"/>
          </c:dPt>
          <c:dPt>
            <c:idx val="22"/>
            <c:bubble3D val="0"/>
          </c:dPt>
          <c:dPt>
            <c:idx val="23"/>
            <c:bubble3D val="0"/>
          </c:dPt>
          <c:dPt>
            <c:idx val="24"/>
            <c:bubble3D val="0"/>
          </c:dPt>
          <c:dPt>
            <c:idx val="25"/>
            <c:bubble3D val="0"/>
          </c:dPt>
          <c:dPt>
            <c:idx val="26"/>
            <c:bubble3D val="0"/>
          </c:dPt>
          <c:dPt>
            <c:idx val="27"/>
            <c:bubble3D val="0"/>
          </c:dPt>
          <c:dPt>
            <c:idx val="28"/>
            <c:bubble3D val="0"/>
          </c:dPt>
          <c:dPt>
            <c:idx val="29"/>
            <c:bubble3D val="0"/>
          </c:dPt>
          <c:dPt>
            <c:idx val="30"/>
            <c:bubble3D val="0"/>
          </c:dPt>
          <c:dPt>
            <c:idx val="31"/>
            <c:bubble3D val="0"/>
          </c:dPt>
          <c:dPt>
            <c:idx val="32"/>
            <c:bubble3D val="0"/>
          </c:dPt>
          <c:dPt>
            <c:idx val="33"/>
            <c:bubble3D val="0"/>
          </c:dPt>
          <c:dLbls>
            <c:dLbl>
              <c:idx val="0"/>
              <c:layout>
                <c:manualLayout>
                  <c:x val="7.8656805850187583E-2"/>
                  <c:y val="-0.2605554226124579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864535686404768E-2"/>
                  <c:y val="-0.1961521080871606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3198295648904278E-2"/>
                  <c:y val="-0.3257145403660397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18081394058402814"/>
                  <c:y val="-0.4266900503407766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7466465253642016"/>
                  <c:y val="-0.2685410696536210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.13989348784863212"/>
                  <c:y val="-0.1824585353593648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5733292685155931"/>
                  <c:y val="-0.115778250359764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.15590262454923609"/>
                  <c:y val="-5.1408930028064286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.11155231864341278"/>
                  <c:y val="-1.0543966594118596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.11614759727491833"/>
                  <c:y val="4.5303100634221265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7.2449609751384605E-2"/>
                  <c:y val="7.2286775519219706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1328209661035978E-2"/>
                  <c:y val="0.1455583890176448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0.1379089515642585"/>
                  <c:y val="5.5665766251279836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7.6960512950404875E-2"/>
                  <c:y val="0.1763997611809419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059684928752537E-2"/>
                  <c:y val="0.1375304924715807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0.11291309689498408"/>
                  <c:y val="0.1389523903634240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0.14203322923221948"/>
                  <c:y val="0.1024915182974205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0.12497617250842775"/>
                  <c:y val="4.1514602202128784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0.12648595418332415"/>
                  <c:y val="-2.595067450883351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0.14046893809030161"/>
                  <c:y val="-9.7167635865706634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0.16955463480615521"/>
                  <c:y val="-0.156703278392217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0.17097547139264835"/>
                  <c:y val="-0.24891821443725975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0.17834746880230623"/>
                  <c:y val="-0.2091504679087582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0.14658166889056587"/>
                  <c:y val="-0.2878649858543718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0.11066041972942414"/>
                  <c:y val="-0.326884831253077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-0.10928854374205206"/>
                  <c:y val="-0.3638339703779114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6"/>
              <c:layout>
                <c:manualLayout>
                  <c:x val="-0.12548552594128384"/>
                  <c:y val="-0.4060040240513045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7"/>
              <c:layout>
                <c:manualLayout>
                  <c:x val="-0.13707156211729132"/>
                  <c:y val="-0.4653597495776794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8"/>
              <c:layout>
                <c:manualLayout>
                  <c:x val="5.1327643142585401E-2"/>
                  <c:y val="-0.4253018372703412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9"/>
              <c:layout>
                <c:manualLayout>
                  <c:x val="5.7111396460736208E-2"/>
                  <c:y val="-0.3025069081208167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0"/>
              <c:layout>
                <c:manualLayout>
                  <c:x val="5.4317242935172608E-2"/>
                  <c:y val="-0.1466837314132650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1"/>
              <c:layout>
                <c:manualLayout>
                  <c:x val="0.10554060987933497"/>
                  <c:y val="-0.3825159980812544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2"/>
              <c:layout>
                <c:manualLayout>
                  <c:x val="0.18184836815082997"/>
                  <c:y val="-0.3358006586567973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3"/>
              <c:layout>
                <c:manualLayout>
                  <c:x val="0.23858720565842756"/>
                  <c:y val="-0.3207003587171985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/>
                </a:pPr>
                <a:endParaRPr lang="it-I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'Tab. Superficie'!$A$2:$A$33</c:f>
              <c:strCache>
                <c:ptCount val="32"/>
                <c:pt idx="0">
                  <c:v>Cantiere Navale di Augusta</c:v>
                </c:pt>
                <c:pt idx="1">
                  <c:v>Cantiere Navale Visentini</c:v>
                </c:pt>
                <c:pt idx="2">
                  <c:v>Cantiere Navale Vittoria</c:v>
                </c:pt>
                <c:pt idx="3">
                  <c:v>Cantieri  Megaride</c:v>
                </c:pt>
                <c:pt idx="4">
                  <c:v>Cantieri del Mediterraneo</c:v>
                </c:pt>
                <c:pt idx="5">
                  <c:v>Cantieri Navali Boschetti</c:v>
                </c:pt>
                <c:pt idx="6">
                  <c:v>Cantieri San Marco</c:v>
                </c:pt>
                <c:pt idx="7">
                  <c:v>Costruzioni Navali</c:v>
                </c:pt>
                <c:pt idx="8">
                  <c:v>Fincantieri - Ancona</c:v>
                </c:pt>
                <c:pt idx="9">
                  <c:v>Fincantieri - ATSM</c:v>
                </c:pt>
                <c:pt idx="10">
                  <c:v>Fincantieri - Castellammare di Stabia</c:v>
                </c:pt>
                <c:pt idx="11">
                  <c:v>Fincantieri - Marghera</c:v>
                </c:pt>
                <c:pt idx="12">
                  <c:v>Fincantieri - Monfalcone</c:v>
                </c:pt>
                <c:pt idx="13">
                  <c:v>Fincantieri - Muggiano</c:v>
                </c:pt>
                <c:pt idx="14">
                  <c:v>Fincantieri - Palermo</c:v>
                </c:pt>
                <c:pt idx="15">
                  <c:v>Fincantieri - Riva Trigoso</c:v>
                </c:pt>
                <c:pt idx="16">
                  <c:v>Fincantieri - Sestri</c:v>
                </c:pt>
                <c:pt idx="17">
                  <c:v>G.M.G. General Montaggi Genovesi</c:v>
                </c:pt>
                <c:pt idx="18">
                  <c:v>Ignazio Messina &amp; C.</c:v>
                </c:pt>
                <c:pt idx="19">
                  <c:v>Intermarine - Messina</c:v>
                </c:pt>
                <c:pt idx="20">
                  <c:v>Intermarine - Sarzana</c:v>
                </c:pt>
                <c:pt idx="21">
                  <c:v>Cantiere Salvadori</c:v>
                </c:pt>
                <c:pt idx="22">
                  <c:v>Mancini </c:v>
                </c:pt>
                <c:pt idx="23">
                  <c:v>Moby</c:v>
                </c:pt>
                <c:pt idx="24">
                  <c:v>Navalimpianti </c:v>
                </c:pt>
                <c:pt idx="25">
                  <c:v>Tringali</c:v>
                </c:pt>
                <c:pt idx="26">
                  <c:v>Nuovi Cantieri Apuania</c:v>
                </c:pt>
                <c:pt idx="27">
                  <c:v>Palumbo Group</c:v>
                </c:pt>
                <c:pt idx="28">
                  <c:v>Rosetti Marino </c:v>
                </c:pt>
                <c:pt idx="29">
                  <c:v>San Giorgio del Porto</c:v>
                </c:pt>
                <c:pt idx="30">
                  <c:v>T. Mariotti</c:v>
                </c:pt>
                <c:pt idx="31">
                  <c:v>Liberty Lines </c:v>
                </c:pt>
              </c:strCache>
            </c:strRef>
          </c:cat>
          <c:val>
            <c:numRef>
              <c:f>'Tab. Superficie'!$B$2:$B$33</c:f>
              <c:numCache>
                <c:formatCode>_-* #,##0_-;\-* #,##0_-;_-* "-"??_-;_-@_-</c:formatCode>
                <c:ptCount val="32"/>
                <c:pt idx="0">
                  <c:v>19010</c:v>
                </c:pt>
                <c:pt idx="1">
                  <c:v>240960</c:v>
                </c:pt>
                <c:pt idx="2">
                  <c:v>21396</c:v>
                </c:pt>
                <c:pt idx="3">
                  <c:v>9086</c:v>
                </c:pt>
                <c:pt idx="4">
                  <c:v>125660</c:v>
                </c:pt>
                <c:pt idx="5">
                  <c:v>1346</c:v>
                </c:pt>
                <c:pt idx="6">
                  <c:v>40800</c:v>
                </c:pt>
                <c:pt idx="7">
                  <c:v>30000</c:v>
                </c:pt>
                <c:pt idx="8">
                  <c:v>359000</c:v>
                </c:pt>
                <c:pt idx="9">
                  <c:v>46149</c:v>
                </c:pt>
                <c:pt idx="10">
                  <c:v>236000</c:v>
                </c:pt>
                <c:pt idx="11">
                  <c:v>379000</c:v>
                </c:pt>
                <c:pt idx="12">
                  <c:v>822500</c:v>
                </c:pt>
                <c:pt idx="13">
                  <c:v>147000</c:v>
                </c:pt>
                <c:pt idx="14">
                  <c:v>220406</c:v>
                </c:pt>
                <c:pt idx="15">
                  <c:v>173000</c:v>
                </c:pt>
                <c:pt idx="16">
                  <c:v>254488</c:v>
                </c:pt>
                <c:pt idx="17">
                  <c:v>18208</c:v>
                </c:pt>
                <c:pt idx="18">
                  <c:v>12700</c:v>
                </c:pt>
                <c:pt idx="19">
                  <c:v>30560</c:v>
                </c:pt>
                <c:pt idx="20">
                  <c:v>77694</c:v>
                </c:pt>
                <c:pt idx="21">
                  <c:v>9000</c:v>
                </c:pt>
                <c:pt idx="22">
                  <c:v>1800</c:v>
                </c:pt>
                <c:pt idx="23">
                  <c:v>2500</c:v>
                </c:pt>
                <c:pt idx="24">
                  <c:v>1699.9</c:v>
                </c:pt>
                <c:pt idx="25">
                  <c:v>50386</c:v>
                </c:pt>
                <c:pt idx="26">
                  <c:v>59000</c:v>
                </c:pt>
                <c:pt idx="27">
                  <c:v>21770</c:v>
                </c:pt>
                <c:pt idx="28">
                  <c:v>65000</c:v>
                </c:pt>
                <c:pt idx="29">
                  <c:v>36654</c:v>
                </c:pt>
                <c:pt idx="30">
                  <c:v>36020</c:v>
                </c:pt>
                <c:pt idx="31">
                  <c:v>16400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it-IT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0"/>
      <c:hPercent val="6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7749546082196119"/>
          <c:y val="0.34363000827632206"/>
          <c:w val="0.41015850231718998"/>
          <c:h val="0.53346898442993373"/>
        </c:manualLayout>
      </c:layout>
      <c:pie3DChart>
        <c:varyColors val="1"/>
        <c:ser>
          <c:idx val="0"/>
          <c:order val="0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Pt>
            <c:idx val="6"/>
            <c:bubble3D val="0"/>
          </c:dPt>
          <c:dPt>
            <c:idx val="7"/>
            <c:bubble3D val="0"/>
          </c:dPt>
          <c:dPt>
            <c:idx val="8"/>
            <c:bubble3D val="0"/>
          </c:dPt>
          <c:dPt>
            <c:idx val="9"/>
            <c:bubble3D val="0"/>
          </c:dPt>
          <c:dPt>
            <c:idx val="10"/>
            <c:bubble3D val="0"/>
          </c:dPt>
          <c:dPt>
            <c:idx val="11"/>
            <c:bubble3D val="0"/>
          </c:dPt>
          <c:dPt>
            <c:idx val="12"/>
            <c:bubble3D val="0"/>
          </c:dPt>
          <c:dPt>
            <c:idx val="13"/>
            <c:bubble3D val="0"/>
          </c:dPt>
          <c:dPt>
            <c:idx val="14"/>
            <c:bubble3D val="0"/>
          </c:dPt>
          <c:dPt>
            <c:idx val="15"/>
            <c:bubble3D val="0"/>
          </c:dPt>
          <c:dPt>
            <c:idx val="16"/>
            <c:bubble3D val="0"/>
          </c:dPt>
          <c:dPt>
            <c:idx val="17"/>
            <c:bubble3D val="0"/>
          </c:dPt>
          <c:dPt>
            <c:idx val="18"/>
            <c:bubble3D val="0"/>
          </c:dPt>
          <c:dPt>
            <c:idx val="19"/>
            <c:bubble3D val="0"/>
          </c:dPt>
          <c:dPt>
            <c:idx val="20"/>
            <c:bubble3D val="0"/>
          </c:dPt>
          <c:dPt>
            <c:idx val="21"/>
            <c:bubble3D val="0"/>
          </c:dPt>
          <c:dPt>
            <c:idx val="22"/>
            <c:bubble3D val="0"/>
          </c:dPt>
          <c:dPt>
            <c:idx val="23"/>
            <c:bubble3D val="0"/>
          </c:dPt>
          <c:dPt>
            <c:idx val="24"/>
            <c:bubble3D val="0"/>
          </c:dPt>
          <c:dPt>
            <c:idx val="25"/>
            <c:bubble3D val="0"/>
          </c:dPt>
          <c:dPt>
            <c:idx val="26"/>
            <c:bubble3D val="0"/>
          </c:dPt>
          <c:dPt>
            <c:idx val="27"/>
            <c:bubble3D val="0"/>
          </c:dPt>
          <c:dPt>
            <c:idx val="28"/>
            <c:bubble3D val="0"/>
          </c:dPt>
          <c:dPt>
            <c:idx val="29"/>
            <c:bubble3D val="0"/>
          </c:dPt>
          <c:dPt>
            <c:idx val="30"/>
            <c:bubble3D val="0"/>
          </c:dPt>
          <c:dPt>
            <c:idx val="31"/>
            <c:bubble3D val="0"/>
          </c:dPt>
          <c:dLbls>
            <c:dLbl>
              <c:idx val="0"/>
              <c:layout>
                <c:manualLayout>
                  <c:x val="-0.24227754578889146"/>
                  <c:y val="-0.3370031471184585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9283885004265602"/>
                  <c:y val="-0.3811185331691358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6730385373678991"/>
                  <c:y val="-0.4549262977198940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3996758958784894"/>
                  <c:y val="-0.2920384122600788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5738928823632664E-2"/>
                  <c:y val="-0.4654697665161522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4.3584074058806051E-3"/>
                  <c:y val="-0.244170991139110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2739496209941099E-2"/>
                  <c:y val="-0.4014240400044781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2.6481184408714151E-2"/>
                  <c:y val="-0.3311422920476172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.1514366302967961"/>
                  <c:y val="-0.4868783819084225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.16995922166027846"/>
                  <c:y val="-0.4263957408167580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.17776139568868043"/>
                  <c:y val="-0.3779462875197472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0.19150585959025729"/>
                  <c:y val="-0.3161694717070318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0.19491719833621107"/>
                  <c:y val="-0.249219688771131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0.25219779740751558"/>
                  <c:y val="-0.2126815951492736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.24748623373866757"/>
                  <c:y val="-0.1748735554975059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0.17620847160823405"/>
                  <c:y val="-0.1097593014143374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.19053338394909033"/>
                  <c:y val="-6.0197534549887424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0.17428980786421916"/>
                  <c:y val="-1.5764202460474431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0.13387508520999417"/>
                  <c:y val="2.620989911806048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.14016597070000775"/>
                  <c:y val="8.1237700737644761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.10523848593575881"/>
                  <c:y val="0.1534149345075941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8.9294032647163277E-2"/>
                  <c:y val="0.1788105633715216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0.12143748749913259"/>
                  <c:y val="0.1576634200345809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5.781845634257364E-2"/>
                  <c:y val="7.1109579715561685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3.0803983175146023E-2"/>
                  <c:y val="3.0563590832920991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-0.10004166496695271"/>
                  <c:y val="-2.94863422669457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6"/>
              <c:layout>
                <c:manualLayout>
                  <c:x val="-8.003200222056224E-2"/>
                  <c:y val="-6.661939769377169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7"/>
              <c:layout>
                <c:manualLayout>
                  <c:x val="-8.1683871942134764E-2"/>
                  <c:y val="-0.1222704034033659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8"/>
              <c:layout>
                <c:manualLayout>
                  <c:x val="-0.17547470640819976"/>
                  <c:y val="-0.1995798037093704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9"/>
              <c:layout>
                <c:manualLayout>
                  <c:x val="-0.25976790226260599"/>
                  <c:y val="-0.2475356694157306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0"/>
              <c:layout>
                <c:manualLayout>
                  <c:x val="-0.27875730152704475"/>
                  <c:y val="-0.2943832020997375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1"/>
              <c:layout>
                <c:manualLayout>
                  <c:x val="-0.25814558561206286"/>
                  <c:y val="-0.4420109216205794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2"/>
              <c:layout>
                <c:manualLayout>
                  <c:x val="-0.23316430193851348"/>
                  <c:y val="-0.2712989173954923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3"/>
              <c:layout>
                <c:manualLayout>
                  <c:x val="-0.2090157348484987"/>
                  <c:y val="-0.2476329470094682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 baseline="0">
                    <a:latin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'Tab. Dipendenti'!$A$2:$A$33</c:f>
              <c:strCache>
                <c:ptCount val="32"/>
                <c:pt idx="0">
                  <c:v>Cantieri Mancini</c:v>
                </c:pt>
                <c:pt idx="1">
                  <c:v>Palumbo Group</c:v>
                </c:pt>
                <c:pt idx="2">
                  <c:v>Tringali</c:v>
                </c:pt>
                <c:pt idx="3">
                  <c:v>Cantiere Navale Vittoria</c:v>
                </c:pt>
                <c:pt idx="4">
                  <c:v>Cantieri San Marco</c:v>
                </c:pt>
                <c:pt idx="5">
                  <c:v>Moby</c:v>
                </c:pt>
                <c:pt idx="6">
                  <c:v>G.M.G. General Montaggi Genovesi</c:v>
                </c:pt>
                <c:pt idx="7">
                  <c:v>Cantiere Navale di Augusta</c:v>
                </c:pt>
                <c:pt idx="8">
                  <c:v>Liberty Lines</c:v>
                </c:pt>
                <c:pt idx="9">
                  <c:v>Cantieri Megaride</c:v>
                </c:pt>
                <c:pt idx="10">
                  <c:v>Costruzioni Navali</c:v>
                </c:pt>
                <c:pt idx="11">
                  <c:v>Cantieri del Mediterraneo </c:v>
                </c:pt>
                <c:pt idx="12">
                  <c:v>San Giorgio del Porto</c:v>
                </c:pt>
                <c:pt idx="13">
                  <c:v>Ignazio Messina</c:v>
                </c:pt>
                <c:pt idx="14">
                  <c:v>T. Mariotti</c:v>
                </c:pt>
                <c:pt idx="15">
                  <c:v>Nuovi Cantieri Apuania</c:v>
                </c:pt>
                <c:pt idx="16">
                  <c:v>Cantiere Navale Visentini</c:v>
                </c:pt>
                <c:pt idx="17">
                  <c:v>Rosetti Marino</c:v>
                </c:pt>
                <c:pt idx="18">
                  <c:v>Intermarine - Messina</c:v>
                </c:pt>
                <c:pt idx="19">
                  <c:v>Intermarine - Sarzana</c:v>
                </c:pt>
                <c:pt idx="20">
                  <c:v>Fincantieri - Muggiano</c:v>
                </c:pt>
                <c:pt idx="21">
                  <c:v>Fincantieri - Riva Trigoso</c:v>
                </c:pt>
                <c:pt idx="22">
                  <c:v>Fincantieri - Palermo</c:v>
                </c:pt>
                <c:pt idx="23">
                  <c:v>Fincantieri - Monfalcone</c:v>
                </c:pt>
                <c:pt idx="24">
                  <c:v>Fincantieri - Marghera</c:v>
                </c:pt>
                <c:pt idx="25">
                  <c:v>Fincantieri - Ancona</c:v>
                </c:pt>
                <c:pt idx="26">
                  <c:v>Fincantieri - ATSM</c:v>
                </c:pt>
                <c:pt idx="27">
                  <c:v>Fincantieri - Castellammare di Stabia</c:v>
                </c:pt>
                <c:pt idx="28">
                  <c:v>Fincantieri - Sestri</c:v>
                </c:pt>
                <c:pt idx="29">
                  <c:v>Navalimpianti</c:v>
                </c:pt>
                <c:pt idx="30">
                  <c:v>Cantiere Salvadori</c:v>
                </c:pt>
                <c:pt idx="31">
                  <c:v>Cantieri Navali Boschetti</c:v>
                </c:pt>
              </c:strCache>
            </c:strRef>
          </c:cat>
          <c:val>
            <c:numRef>
              <c:f>'Tab. Dipendenti'!$B$2:$B$33</c:f>
              <c:numCache>
                <c:formatCode>General</c:formatCode>
                <c:ptCount val="32"/>
                <c:pt idx="0">
                  <c:v>5</c:v>
                </c:pt>
                <c:pt idx="1">
                  <c:v>47</c:v>
                </c:pt>
                <c:pt idx="2">
                  <c:v>43</c:v>
                </c:pt>
                <c:pt idx="3">
                  <c:v>58</c:v>
                </c:pt>
                <c:pt idx="4">
                  <c:v>21</c:v>
                </c:pt>
                <c:pt idx="5">
                  <c:v>179</c:v>
                </c:pt>
                <c:pt idx="6">
                  <c:v>44</c:v>
                </c:pt>
                <c:pt idx="7">
                  <c:v>45</c:v>
                </c:pt>
                <c:pt idx="8">
                  <c:v>83</c:v>
                </c:pt>
                <c:pt idx="9">
                  <c:v>15</c:v>
                </c:pt>
                <c:pt idx="10">
                  <c:v>10</c:v>
                </c:pt>
                <c:pt idx="11">
                  <c:v>32</c:v>
                </c:pt>
                <c:pt idx="12">
                  <c:v>140</c:v>
                </c:pt>
                <c:pt idx="13">
                  <c:v>34</c:v>
                </c:pt>
                <c:pt idx="14">
                  <c:v>101</c:v>
                </c:pt>
                <c:pt idx="15">
                  <c:v>187</c:v>
                </c:pt>
                <c:pt idx="16">
                  <c:v>53</c:v>
                </c:pt>
                <c:pt idx="17">
                  <c:v>36</c:v>
                </c:pt>
                <c:pt idx="18">
                  <c:v>49</c:v>
                </c:pt>
                <c:pt idx="19">
                  <c:v>228</c:v>
                </c:pt>
                <c:pt idx="20">
                  <c:v>551</c:v>
                </c:pt>
                <c:pt idx="21">
                  <c:v>683</c:v>
                </c:pt>
                <c:pt idx="22">
                  <c:v>462</c:v>
                </c:pt>
                <c:pt idx="23">
                  <c:v>1443</c:v>
                </c:pt>
                <c:pt idx="24">
                  <c:v>1019</c:v>
                </c:pt>
                <c:pt idx="25">
                  <c:v>538</c:v>
                </c:pt>
                <c:pt idx="26">
                  <c:v>15</c:v>
                </c:pt>
                <c:pt idx="27">
                  <c:v>563</c:v>
                </c:pt>
                <c:pt idx="28">
                  <c:v>612</c:v>
                </c:pt>
                <c:pt idx="29">
                  <c:v>14</c:v>
                </c:pt>
                <c:pt idx="30">
                  <c:v>7</c:v>
                </c:pt>
                <c:pt idx="31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0.25612</cdr:x>
      <cdr:y>0.04321</cdr:y>
    </cdr:from>
    <cdr:to>
      <cdr:x>0.79694</cdr:x>
      <cdr:y>0.09568</cdr:y>
    </cdr:to>
    <cdr:sp macro="" textlink="">
      <cdr:nvSpPr>
        <cdr:cNvPr id="2" name="CasellaDiTesto 1"/>
        <cdr:cNvSpPr txBox="1"/>
      </cdr:nvSpPr>
      <cdr:spPr>
        <a:xfrm xmlns:a="http://schemas.openxmlformats.org/drawingml/2006/main">
          <a:off x="2390775" y="266700"/>
          <a:ext cx="5048250" cy="3238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0.21837</cdr:x>
      <cdr:y>0.04321</cdr:y>
    </cdr:from>
    <cdr:to>
      <cdr:x>0.83878</cdr:x>
      <cdr:y>0.13117</cdr:y>
    </cdr:to>
    <cdr:sp macro="" textlink="">
      <cdr:nvSpPr>
        <cdr:cNvPr id="3" name="CasellaDiTesto 2"/>
        <cdr:cNvSpPr txBox="1"/>
      </cdr:nvSpPr>
      <cdr:spPr>
        <a:xfrm xmlns:a="http://schemas.openxmlformats.org/drawingml/2006/main">
          <a:off x="2038351" y="266700"/>
          <a:ext cx="5791200" cy="542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0.25612</cdr:x>
      <cdr:y>0.04321</cdr:y>
    </cdr:from>
    <cdr:to>
      <cdr:x>0.79694</cdr:x>
      <cdr:y>0.09568</cdr:y>
    </cdr:to>
    <cdr:sp macro="" textlink="">
      <cdr:nvSpPr>
        <cdr:cNvPr id="4" name="CasellaDiTesto 1"/>
        <cdr:cNvSpPr txBox="1"/>
      </cdr:nvSpPr>
      <cdr:spPr>
        <a:xfrm xmlns:a="http://schemas.openxmlformats.org/drawingml/2006/main">
          <a:off x="2390775" y="266700"/>
          <a:ext cx="5048250" cy="3238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0.21837</cdr:x>
      <cdr:y>0.04321</cdr:y>
    </cdr:from>
    <cdr:to>
      <cdr:x>0.83878</cdr:x>
      <cdr:y>0.13117</cdr:y>
    </cdr:to>
    <cdr:sp macro="" textlink="">
      <cdr:nvSpPr>
        <cdr:cNvPr id="5" name="CasellaDiTesto 2"/>
        <cdr:cNvSpPr txBox="1"/>
      </cdr:nvSpPr>
      <cdr:spPr>
        <a:xfrm xmlns:a="http://schemas.openxmlformats.org/drawingml/2006/main">
          <a:off x="2038351" y="266700"/>
          <a:ext cx="5791200" cy="542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0.25612</cdr:x>
      <cdr:y>0.04321</cdr:y>
    </cdr:from>
    <cdr:to>
      <cdr:x>0.75472</cdr:x>
      <cdr:y>0.09568</cdr:y>
    </cdr:to>
    <cdr:sp macro="" textlink="">
      <cdr:nvSpPr>
        <cdr:cNvPr id="6" name="CasellaDiTesto 1"/>
        <cdr:cNvSpPr txBox="1"/>
      </cdr:nvSpPr>
      <cdr:spPr>
        <a:xfrm xmlns:a="http://schemas.openxmlformats.org/drawingml/2006/main">
          <a:off x="2327325" y="262997"/>
          <a:ext cx="4530676" cy="3193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 sz="16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0.21837</cdr:x>
      <cdr:y>0.04321</cdr:y>
    </cdr:from>
    <cdr:to>
      <cdr:x>0.83878</cdr:x>
      <cdr:y>0.13117</cdr:y>
    </cdr:to>
    <cdr:sp macro="" textlink="">
      <cdr:nvSpPr>
        <cdr:cNvPr id="7" name="CasellaDiTesto 2"/>
        <cdr:cNvSpPr txBox="1"/>
      </cdr:nvSpPr>
      <cdr:spPr>
        <a:xfrm xmlns:a="http://schemas.openxmlformats.org/drawingml/2006/main">
          <a:off x="2038351" y="266700"/>
          <a:ext cx="5791200" cy="542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0.1586</cdr:x>
      <cdr:y>0.06822</cdr:y>
    </cdr:from>
    <cdr:to>
      <cdr:x>0.84139</cdr:x>
      <cdr:y>0.13645</cdr:y>
    </cdr:to>
    <cdr:sp macro="" textlink="">
      <cdr:nvSpPr>
        <cdr:cNvPr id="2" name="CasellaDiTesto 1"/>
        <cdr:cNvSpPr txBox="1"/>
      </cdr:nvSpPr>
      <cdr:spPr>
        <a:xfrm xmlns:a="http://schemas.openxmlformats.org/drawingml/2006/main">
          <a:off x="1343023" y="361949"/>
          <a:ext cx="5781675" cy="3619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 sz="1100"/>
        </a:p>
      </cdr:txBody>
    </cdr:sp>
  </cdr:relSizeAnchor>
  <cdr:relSizeAnchor xmlns:cdr="http://schemas.openxmlformats.org/drawingml/2006/chartDrawing">
    <cdr:from>
      <cdr:x>0.09336</cdr:x>
      <cdr:y>0.07899</cdr:y>
    </cdr:from>
    <cdr:to>
      <cdr:x>0.92013</cdr:x>
      <cdr:y>0.15081</cdr:y>
    </cdr:to>
    <cdr:sp macro="" textlink="">
      <cdr:nvSpPr>
        <cdr:cNvPr id="3" name="CasellaDiTesto 2"/>
        <cdr:cNvSpPr txBox="1"/>
      </cdr:nvSpPr>
      <cdr:spPr>
        <a:xfrm xmlns:a="http://schemas.openxmlformats.org/drawingml/2006/main">
          <a:off x="790573" y="419099"/>
          <a:ext cx="7000875" cy="381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 sz="14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Memmolo Mauro</dc:creator>
  <cp:lastModifiedBy>Zacchi Giovanni</cp:lastModifiedBy>
  <cp:revision>2</cp:revision>
  <dcterms:created xsi:type="dcterms:W3CDTF">2018-02-01T06:07:00Z</dcterms:created>
  <dcterms:modified xsi:type="dcterms:W3CDTF">2018-02-01T06:07:00Z</dcterms:modified>
</cp:coreProperties>
</file>